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BD1CE" w14:textId="1A78ABB0" w:rsidR="0004421C" w:rsidRPr="0004421C" w:rsidRDefault="0004421C" w:rsidP="0004421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4421C">
        <w:rPr>
          <w:rFonts w:ascii="Times New Roman" w:hAnsi="Times New Roman" w:cs="Times New Roman"/>
          <w:b/>
          <w:bCs/>
          <w:sz w:val="24"/>
          <w:szCs w:val="24"/>
        </w:rPr>
        <w:t xml:space="preserve">Príloha 2: Zdravotné riziká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71"/>
        <w:gridCol w:w="1626"/>
        <w:gridCol w:w="1134"/>
        <w:gridCol w:w="5387"/>
        <w:gridCol w:w="5470"/>
      </w:tblGrid>
      <w:tr w:rsidR="00166EA3" w:rsidRPr="00F7686E" w14:paraId="38AED5E8" w14:textId="77777777" w:rsidTr="00A10E18">
        <w:trPr>
          <w:trHeight w:val="251"/>
        </w:trPr>
        <w:tc>
          <w:tcPr>
            <w:tcW w:w="1771" w:type="dxa"/>
          </w:tcPr>
          <w:p w14:paraId="4855466E" w14:textId="676C7FE9" w:rsidR="00166EA3" w:rsidRPr="007A4303" w:rsidRDefault="00166EA3" w:rsidP="00B034D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Ukazovateľ</w:t>
            </w:r>
          </w:p>
        </w:tc>
        <w:tc>
          <w:tcPr>
            <w:tcW w:w="1626" w:type="dxa"/>
          </w:tcPr>
          <w:p w14:paraId="0A7BD87C" w14:textId="684A1010" w:rsidR="00166EA3" w:rsidRPr="007A4303" w:rsidRDefault="00166EA3" w:rsidP="00B034D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Limit </w:t>
            </w:r>
          </w:p>
        </w:tc>
        <w:tc>
          <w:tcPr>
            <w:tcW w:w="1134" w:type="dxa"/>
          </w:tcPr>
          <w:p w14:paraId="567E3F6A" w14:textId="3CFE170D" w:rsidR="00166EA3" w:rsidRPr="007A4303" w:rsidRDefault="00166EA3" w:rsidP="00B034D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Druh limitu</w:t>
            </w:r>
          </w:p>
        </w:tc>
        <w:tc>
          <w:tcPr>
            <w:tcW w:w="5387" w:type="dxa"/>
          </w:tcPr>
          <w:p w14:paraId="4C2CBD73" w14:textId="7AA99320" w:rsidR="00166EA3" w:rsidRPr="007A4303" w:rsidRDefault="00166EA3" w:rsidP="00B034D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Pôvod</w:t>
            </w:r>
          </w:p>
        </w:tc>
        <w:tc>
          <w:tcPr>
            <w:tcW w:w="5470" w:type="dxa"/>
          </w:tcPr>
          <w:p w14:paraId="71697787" w14:textId="77777777" w:rsidR="00166EA3" w:rsidRDefault="00166EA3" w:rsidP="00B034D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Negatívne </w:t>
            </w: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účinky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zdravie</w:t>
            </w:r>
          </w:p>
          <w:p w14:paraId="6B6CCBA7" w14:textId="31BF437D" w:rsidR="00166EA3" w:rsidRPr="007A4303" w:rsidRDefault="00166EA3" w:rsidP="006568F4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 príjme vody  s prekročenými limitnými hodnotami </w:t>
            </w:r>
          </w:p>
        </w:tc>
      </w:tr>
      <w:tr w:rsidR="00166EA3" w:rsidRPr="00F7686E" w14:paraId="5F66EAA0" w14:textId="77777777" w:rsidTr="00A10E18">
        <w:trPr>
          <w:trHeight w:val="251"/>
        </w:trPr>
        <w:tc>
          <w:tcPr>
            <w:tcW w:w="1771" w:type="dxa"/>
          </w:tcPr>
          <w:p w14:paraId="7D976E02" w14:textId="7AC075D0" w:rsidR="00166EA3" w:rsidRPr="007A4303" w:rsidRDefault="00166EA3" w:rsidP="000C042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Enterokoky</w:t>
            </w:r>
            <w:proofErr w:type="spellEnd"/>
          </w:p>
        </w:tc>
        <w:tc>
          <w:tcPr>
            <w:tcW w:w="1626" w:type="dxa"/>
          </w:tcPr>
          <w:p w14:paraId="7AECC604" w14:textId="440A4AD3" w:rsidR="00166EA3" w:rsidRDefault="00166EA3" w:rsidP="000C04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66">
              <w:rPr>
                <w:rFonts w:ascii="Times New Roman" w:hAnsi="Times New Roman" w:cs="Times New Roman"/>
                <w:sz w:val="24"/>
                <w:szCs w:val="24"/>
              </w:rPr>
              <w:t>0 KTJ/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 ml</w:t>
            </w:r>
          </w:p>
          <w:p w14:paraId="35644554" w14:textId="525C7B7D" w:rsidR="00166EA3" w:rsidRPr="001B3966" w:rsidRDefault="00166EA3" w:rsidP="001B3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D556D4" w14:textId="190279B3" w:rsidR="00166EA3" w:rsidRPr="001167CD" w:rsidRDefault="00166EA3" w:rsidP="000C042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NMH</w:t>
            </w:r>
          </w:p>
        </w:tc>
        <w:tc>
          <w:tcPr>
            <w:tcW w:w="5387" w:type="dxa"/>
          </w:tcPr>
          <w:p w14:paraId="25EF8037" w14:textId="1316308A" w:rsidR="00166EA3" w:rsidRPr="001167CD" w:rsidRDefault="00166EA3" w:rsidP="00FD5D6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67CD">
              <w:rPr>
                <w:rFonts w:ascii="Times New Roman" w:hAnsi="Times New Roman" w:cs="Times New Roman"/>
                <w:sz w:val="24"/>
                <w:szCs w:val="24"/>
              </w:rPr>
              <w:t>nterokoky</w:t>
            </w:r>
            <w:proofErr w:type="spellEnd"/>
            <w:r w:rsidRPr="001167CD">
              <w:rPr>
                <w:rFonts w:ascii="Times New Roman" w:hAnsi="Times New Roman" w:cs="Times New Roman"/>
                <w:sz w:val="24"/>
                <w:szCs w:val="24"/>
              </w:rPr>
              <w:t xml:space="preserve"> sa nachádzajú vo vode najmä v dôsledku čerstvého fekálneho znečistenia (mimo črevný trakt rýchlo hynú).</w:t>
            </w:r>
          </w:p>
          <w:p w14:paraId="62C47211" w14:textId="7A6D68DA" w:rsidR="00166EA3" w:rsidRPr="001167CD" w:rsidRDefault="00166EA3" w:rsidP="00FD5D6B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0" w:type="dxa"/>
          </w:tcPr>
          <w:p w14:paraId="2E022585" w14:textId="77777777" w:rsidR="00D247EA" w:rsidRDefault="00166EA3" w:rsidP="00D247E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CD">
              <w:rPr>
                <w:rFonts w:ascii="Times New Roman" w:hAnsi="Times New Roman" w:cs="Times New Roman"/>
                <w:sz w:val="24"/>
                <w:szCs w:val="24"/>
              </w:rPr>
              <w:t>Spôsobujú brušné a močové infekcie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  <w:r w:rsidRPr="00FD5D6B">
              <w:rPr>
                <w:rFonts w:ascii="Times New Roman" w:hAnsi="Times New Roman" w:cs="Times New Roman"/>
                <w:sz w:val="24"/>
                <w:szCs w:val="24"/>
              </w:rPr>
              <w:t>U starších ľudí môžu vyvolávať zápaly srdcového s</w:t>
            </w:r>
            <w:r w:rsidRPr="001167CD">
              <w:rPr>
                <w:rFonts w:ascii="Times New Roman" w:hAnsi="Times New Roman" w:cs="Times New Roman"/>
                <w:sz w:val="24"/>
                <w:szCs w:val="24"/>
              </w:rPr>
              <w:t>valu. Osobitné riziko predstavujú pre dlhodobo hospitalizovaných pacientov.</w:t>
            </w:r>
            <w:r w:rsidR="00AF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58EC1D" w14:textId="29A159E3" w:rsidR="00166EA3" w:rsidRPr="001167CD" w:rsidRDefault="00AF0DD8" w:rsidP="00D247E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CD">
              <w:rPr>
                <w:rFonts w:ascii="Times New Roman" w:hAnsi="Times New Roman" w:cs="Times New Roman"/>
                <w:sz w:val="24"/>
                <w:szCs w:val="24"/>
              </w:rPr>
              <w:t>Vyznačujú sa rezistenciou na niektoré antibiotiká.</w:t>
            </w:r>
          </w:p>
        </w:tc>
      </w:tr>
      <w:tr w:rsidR="00166EA3" w:rsidRPr="00F7686E" w14:paraId="5D8926F6" w14:textId="77777777" w:rsidTr="00A10E18">
        <w:trPr>
          <w:trHeight w:val="251"/>
        </w:trPr>
        <w:tc>
          <w:tcPr>
            <w:tcW w:w="1771" w:type="dxa"/>
          </w:tcPr>
          <w:p w14:paraId="0801D261" w14:textId="26E8B00C" w:rsidR="00166EA3" w:rsidRPr="00D62709" w:rsidRDefault="00166EA3" w:rsidP="000C0420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62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Escherichia</w:t>
            </w:r>
            <w:proofErr w:type="spellEnd"/>
            <w:r w:rsidRPr="00D62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27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626" w:type="dxa"/>
          </w:tcPr>
          <w:p w14:paraId="02730CC4" w14:textId="3E37C78B" w:rsidR="00166EA3" w:rsidRPr="00D62709" w:rsidRDefault="00166EA3" w:rsidP="000C04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09">
              <w:rPr>
                <w:rFonts w:ascii="Times New Roman" w:hAnsi="Times New Roman" w:cs="Times New Roman"/>
                <w:sz w:val="24"/>
                <w:szCs w:val="24"/>
              </w:rPr>
              <w:t>0 KTJ/100 ml</w:t>
            </w:r>
          </w:p>
          <w:p w14:paraId="48F07B8D" w14:textId="4C6920FE" w:rsidR="00166EA3" w:rsidRPr="00D62709" w:rsidRDefault="00166EA3" w:rsidP="001B39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8BFF9" w14:textId="2ACB5193" w:rsidR="00166EA3" w:rsidRPr="00166EA3" w:rsidRDefault="00166EA3" w:rsidP="000C042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A3"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6882EEFF" w14:textId="0B70E5B3" w:rsidR="00166EA3" w:rsidRPr="00FD5D6B" w:rsidRDefault="00166EA3" w:rsidP="00FD5D6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7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Escherichia</w:t>
            </w:r>
            <w:proofErr w:type="spellEnd"/>
            <w:r w:rsidRPr="00D627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27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coli</w:t>
            </w:r>
            <w:proofErr w:type="spellEnd"/>
            <w:r w:rsidRPr="00D62709">
              <w:rPr>
                <w:rFonts w:ascii="Times New Roman" w:hAnsi="Times New Roman" w:cs="Times New Roman"/>
                <w:sz w:val="24"/>
                <w:szCs w:val="24"/>
              </w:rPr>
              <w:t xml:space="preserve"> sú hlavným a spoľahlivým indikátorom fekálneho znečistenia, nakoľko ich pôvod je výlučne črevného živočíšneho alebo ľudského pôvodu a vyskytujú sa vo výkaloch. </w:t>
            </w:r>
            <w:r w:rsidRPr="00FD5D6B">
              <w:rPr>
                <w:rFonts w:ascii="Times New Roman" w:hAnsi="Times New Roman" w:cs="Times New Roman"/>
                <w:bCs/>
                <w:sz w:val="24"/>
                <w:szCs w:val="24"/>
              </w:rPr>
              <w:t>Vo vode a vlhkom prostredí môžu prežiť niekoľko týždňov.</w:t>
            </w:r>
          </w:p>
          <w:p w14:paraId="4CC09F6C" w14:textId="5F27ECE2" w:rsidR="00166EA3" w:rsidRPr="00D62709" w:rsidRDefault="00166EA3" w:rsidP="001B3966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0" w:type="dxa"/>
          </w:tcPr>
          <w:p w14:paraId="14B0CBDA" w14:textId="36C3844A" w:rsidR="00166EA3" w:rsidRPr="00D62709" w:rsidRDefault="00166EA3" w:rsidP="00FD5D6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709">
              <w:rPr>
                <w:rFonts w:ascii="Times New Roman" w:hAnsi="Times New Roman" w:cs="Times New Roman"/>
                <w:sz w:val="24"/>
                <w:szCs w:val="24"/>
              </w:rPr>
              <w:t>Patogénne kmene (nie všetky kmene baktérií sú patogénne) spôsobujú infekčné črevné ochorenia, ktoré sa prejavujú hnačkami, zvracaním a akútnymi zápalmi tráviaceho traktu</w:t>
            </w:r>
            <w:r w:rsidRPr="00FD5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5D6B">
              <w:rPr>
                <w:rFonts w:ascii="Times New Roman" w:hAnsi="Times New Roman" w:cs="Times New Roman"/>
                <w:sz w:val="24"/>
                <w:szCs w:val="24"/>
              </w:rPr>
              <w:t>Enterohemoragické</w:t>
            </w:r>
            <w:proofErr w:type="spellEnd"/>
            <w:r w:rsidRPr="00FD5D6B">
              <w:rPr>
                <w:rFonts w:ascii="Times New Roman" w:hAnsi="Times New Roman" w:cs="Times New Roman"/>
                <w:sz w:val="24"/>
                <w:szCs w:val="24"/>
              </w:rPr>
              <w:t xml:space="preserve"> kmene produkujú toxíny, ktoré spôsobujú poškodenie obličiek a  </w:t>
            </w:r>
            <w:proofErr w:type="spellStart"/>
            <w:r w:rsidRPr="00FD5D6B">
              <w:rPr>
                <w:rFonts w:ascii="Times New Roman" w:hAnsi="Times New Roman" w:cs="Times New Roman"/>
                <w:sz w:val="24"/>
                <w:szCs w:val="24"/>
              </w:rPr>
              <w:t>hemolyticko</w:t>
            </w:r>
            <w:proofErr w:type="spellEnd"/>
            <w:r w:rsidRPr="00FD5D6B">
              <w:rPr>
                <w:rFonts w:ascii="Times New Roman" w:hAnsi="Times New Roman" w:cs="Times New Roman"/>
                <w:sz w:val="24"/>
                <w:szCs w:val="24"/>
              </w:rPr>
              <w:t>-uremický syndróm, ktorý môže byť smrteľný.</w:t>
            </w:r>
          </w:p>
        </w:tc>
      </w:tr>
      <w:tr w:rsidR="00166EA3" w:rsidRPr="00F7686E" w14:paraId="0368FAF8" w14:textId="77777777" w:rsidTr="00A10E18">
        <w:trPr>
          <w:trHeight w:val="251"/>
        </w:trPr>
        <w:tc>
          <w:tcPr>
            <w:tcW w:w="1771" w:type="dxa"/>
          </w:tcPr>
          <w:p w14:paraId="18D16AEC" w14:textId="51782F66" w:rsidR="00C70DDC" w:rsidRDefault="00166EA3" w:rsidP="000341B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D</w:t>
            </w: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usičnany</w:t>
            </w:r>
          </w:p>
          <w:p w14:paraId="161EA6E3" w14:textId="77777777" w:rsidR="000341B3" w:rsidRDefault="000341B3" w:rsidP="00C70DD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DD54EB" w14:textId="274B7D9D" w:rsidR="00166EA3" w:rsidRPr="00C70DDC" w:rsidRDefault="00166EA3" w:rsidP="00C70DD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usitany</w:t>
            </w:r>
          </w:p>
        </w:tc>
        <w:tc>
          <w:tcPr>
            <w:tcW w:w="1626" w:type="dxa"/>
          </w:tcPr>
          <w:p w14:paraId="4FEB7F24" w14:textId="2A3AB8D1" w:rsidR="00166EA3" w:rsidRDefault="00166EA3" w:rsidP="000341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  <w:p w14:paraId="42B842CF" w14:textId="77777777" w:rsidR="000341B3" w:rsidRDefault="000341B3" w:rsidP="003D29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FA300" w14:textId="30F50471" w:rsidR="00166EA3" w:rsidRPr="00D62709" w:rsidRDefault="00166EA3" w:rsidP="000341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0,50 mg/l</w:t>
            </w:r>
          </w:p>
        </w:tc>
        <w:tc>
          <w:tcPr>
            <w:tcW w:w="1134" w:type="dxa"/>
          </w:tcPr>
          <w:p w14:paraId="4B038D87" w14:textId="19E3A4AE" w:rsidR="00166EA3" w:rsidRDefault="00166EA3" w:rsidP="000341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  <w:p w14:paraId="29D452C6" w14:textId="77777777" w:rsidR="000341B3" w:rsidRDefault="000341B3" w:rsidP="003D290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A9BCF" w14:textId="7B1D3056" w:rsidR="00E8028A" w:rsidRPr="007A4303" w:rsidRDefault="00E8028A" w:rsidP="000341B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20ECF27F" w14:textId="075972ED" w:rsidR="00166EA3" w:rsidRPr="00D62709" w:rsidRDefault="00166EA3" w:rsidP="00E7402A">
            <w:pPr>
              <w:spacing w:before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Dusičnany bývajú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v malých množstvách prirodzenou súčasťou vôd, avšak ich zvýšené hodnoty spolu s dusitanmi indikujú nadmerné alebo nesprávne používanie hnojív a úniky fekálneho znečistenia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odpadových vôd. </w:t>
            </w:r>
          </w:p>
        </w:tc>
        <w:tc>
          <w:tcPr>
            <w:tcW w:w="5470" w:type="dxa"/>
          </w:tcPr>
          <w:p w14:paraId="3D1FAE28" w14:textId="157FEA8C" w:rsidR="00166EA3" w:rsidRPr="00D62709" w:rsidRDefault="00166EA3" w:rsidP="00FD5D6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6B">
              <w:rPr>
                <w:rFonts w:ascii="Times New Roman" w:hAnsi="Times New Roman" w:cs="Times New Roman"/>
                <w:sz w:val="24"/>
                <w:szCs w:val="24"/>
              </w:rPr>
              <w:t xml:space="preserve">Toxické účinky u človeka </w:t>
            </w:r>
            <w:r w:rsidRPr="0088754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754E" w:rsidRPr="0088754E">
              <w:rPr>
                <w:rFonts w:ascii="Times New Roman" w:hAnsi="Times New Roman" w:cs="Times New Roman"/>
                <w:sz w:val="24"/>
                <w:szCs w:val="24"/>
              </w:rPr>
              <w:t xml:space="preserve">ú najmä v </w:t>
            </w:r>
            <w:r w:rsidR="00E416C2" w:rsidRPr="0088754E">
              <w:rPr>
                <w:rFonts w:ascii="Times New Roman" w:hAnsi="Times New Roman" w:cs="Times New Roman"/>
                <w:sz w:val="24"/>
                <w:szCs w:val="24"/>
              </w:rPr>
              <w:t>následk</w:t>
            </w:r>
            <w:r w:rsidR="0088754E" w:rsidRPr="0088754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16C2" w:rsidRPr="0088754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88754E">
              <w:rPr>
                <w:rFonts w:ascii="Times New Roman" w:hAnsi="Times New Roman" w:cs="Times New Roman"/>
                <w:sz w:val="24"/>
                <w:szCs w:val="24"/>
              </w:rPr>
              <w:t>edukci</w:t>
            </w:r>
            <w:r w:rsidR="0088754E" w:rsidRPr="008875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8754E">
              <w:rPr>
                <w:rFonts w:ascii="Times New Roman" w:hAnsi="Times New Roman" w:cs="Times New Roman"/>
                <w:sz w:val="24"/>
                <w:szCs w:val="24"/>
              </w:rPr>
              <w:t xml:space="preserve"> dusičnanov na </w:t>
            </w:r>
            <w:r w:rsidR="0088754E" w:rsidRPr="0088754E">
              <w:rPr>
                <w:rFonts w:ascii="Times New Roman" w:hAnsi="Times New Roman" w:cs="Times New Roman"/>
                <w:sz w:val="24"/>
                <w:szCs w:val="24"/>
              </w:rPr>
              <w:t>toxickejši</w:t>
            </w:r>
            <w:r w:rsidR="0088754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FD5D6B">
              <w:rPr>
                <w:rFonts w:ascii="Times New Roman" w:hAnsi="Times New Roman" w:cs="Times New Roman"/>
                <w:sz w:val="24"/>
                <w:szCs w:val="24"/>
              </w:rPr>
              <w:t xml:space="preserve">dusitany a následnou tvorbou methemoglobínu. Voda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so zvýšenými hodnotami dusičnanov a najmä dusitanov nie je vhodná na prípravu stravy tehotných a dojčiacich žien, a je obzvlášť nebezpečná na prípravu umelej výživy dojčiat do veku 3 mesiacov, u ktorých hrozí vysoké riziko premeny krvného farbiva hemoglobínu na methemoglobín, ktorého schopnosť prenášať kyslík je obmedzená. Hrozí riziko dusičnanovej alimentárnej methemoglobinémie, kedy sa v prvej fáze prejaví nedostatok kyslíka modraním kože a pier, pri vážnejších stavoch skutočným dusením a poškodením funkcií mozgu až zlyhaním základných životných funkcií. V žalúdku môžu dusitany reagovať s amínmi a inými dusíkatými látkami v požívatinách za vzniku N-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nitrózo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zlúčenín, ktoré sú karcinogénne.</w:t>
            </w:r>
          </w:p>
        </w:tc>
      </w:tr>
      <w:tr w:rsidR="00166EA3" w:rsidRPr="00F7686E" w14:paraId="6E0168AE" w14:textId="77777777" w:rsidTr="00A10E18">
        <w:trPr>
          <w:trHeight w:val="251"/>
        </w:trPr>
        <w:tc>
          <w:tcPr>
            <w:tcW w:w="1771" w:type="dxa"/>
          </w:tcPr>
          <w:p w14:paraId="55E8B015" w14:textId="5AEE840F" w:rsidR="00166EA3" w:rsidRPr="007A4303" w:rsidRDefault="00166EA3" w:rsidP="00D7278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Arzén</w:t>
            </w:r>
          </w:p>
        </w:tc>
        <w:tc>
          <w:tcPr>
            <w:tcW w:w="1626" w:type="dxa"/>
          </w:tcPr>
          <w:p w14:paraId="5AB7EA99" w14:textId="5AAAF953" w:rsidR="00166EA3" w:rsidRPr="007A4303" w:rsidRDefault="00166EA3" w:rsidP="00D727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10,0 µg/l</w:t>
            </w:r>
          </w:p>
        </w:tc>
        <w:tc>
          <w:tcPr>
            <w:tcW w:w="1134" w:type="dxa"/>
          </w:tcPr>
          <w:p w14:paraId="6E0616B5" w14:textId="276F6ADA" w:rsidR="00166EA3" w:rsidRPr="00B474A5" w:rsidRDefault="00166EA3" w:rsidP="00D7278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3BC038B8" w14:textId="1AE1A293" w:rsidR="006F2F59" w:rsidRDefault="00166EA3" w:rsidP="006F2F5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A5">
              <w:rPr>
                <w:rFonts w:ascii="Times New Roman" w:hAnsi="Times New Roman" w:cs="Times New Roman"/>
                <w:sz w:val="24"/>
                <w:szCs w:val="24"/>
              </w:rPr>
              <w:t xml:space="preserve">Arzén je </w:t>
            </w:r>
            <w:r w:rsidR="006F2F59" w:rsidRPr="00B474A5">
              <w:rPr>
                <w:rFonts w:ascii="Times New Roman" w:hAnsi="Times New Roman" w:cs="Times New Roman"/>
                <w:sz w:val="24"/>
                <w:szCs w:val="24"/>
              </w:rPr>
              <w:t>prirodzene</w:t>
            </w:r>
            <w:r w:rsidR="006F2F59"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sa vyskytujúci </w:t>
            </w:r>
            <w:r w:rsidR="00BA4FCF"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ťažký kov </w:t>
            </w:r>
            <w:r w:rsidR="009250EC" w:rsidRPr="00D247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339">
              <w:rPr>
                <w:rFonts w:ascii="Times New Roman" w:hAnsi="Times New Roman" w:cs="Times New Roman"/>
                <w:sz w:val="24"/>
                <w:szCs w:val="24"/>
              </w:rPr>
              <w:t>do vody sa dostáva rozpúšťaním minerálov z</w:t>
            </w:r>
            <w:r w:rsidR="009250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339">
              <w:rPr>
                <w:rFonts w:ascii="Times New Roman" w:hAnsi="Times New Roman" w:cs="Times New Roman"/>
                <w:sz w:val="24"/>
                <w:szCs w:val="24"/>
              </w:rPr>
              <w:t>rúd</w:t>
            </w:r>
            <w:r w:rsidR="00925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C4D63" w14:textId="783F9EE9" w:rsidR="00166EA3" w:rsidRPr="007A4303" w:rsidRDefault="006F2F59" w:rsidP="006F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66EA3"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eho zvýšené koncentrácie </w:t>
            </w:r>
            <w:r w:rsidR="009250EC">
              <w:rPr>
                <w:rFonts w:ascii="Times New Roman" w:hAnsi="Times New Roman" w:cs="Times New Roman"/>
                <w:sz w:val="24"/>
                <w:szCs w:val="24"/>
              </w:rPr>
              <w:t xml:space="preserve">však </w:t>
            </w:r>
            <w:r w:rsidR="00166EA3" w:rsidRPr="007A4303">
              <w:rPr>
                <w:rFonts w:ascii="Times New Roman" w:hAnsi="Times New Roman" w:cs="Times New Roman"/>
                <w:sz w:val="24"/>
                <w:szCs w:val="24"/>
              </w:rPr>
              <w:t>väčšinou úzko súvisia s priemyselnou a poľnohospodárskou činnosťou</w:t>
            </w:r>
            <w:r w:rsidR="00A10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6EA3"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A9632" w14:textId="77777777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5B8F" w14:textId="77777777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C8AC" w14:textId="0C5E2DC2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5D9D817D" w14:textId="37EE1977" w:rsidR="00166EA3" w:rsidRPr="007A4303" w:rsidRDefault="00166EA3" w:rsidP="00E61E4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9">
              <w:rPr>
                <w:rFonts w:ascii="Times New Roman" w:hAnsi="Times New Roman" w:cs="Times New Roman"/>
                <w:sz w:val="24"/>
                <w:szCs w:val="24"/>
              </w:rPr>
              <w:t>Akútna intoxikácia arzénom bola zaznamenaná pri expozícii pitnou vodou obsahujúcou vysoké koncentrácie</w:t>
            </w:r>
            <w:r w:rsidR="00D2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339">
              <w:rPr>
                <w:rFonts w:ascii="Times New Roman" w:hAnsi="Times New Roman" w:cs="Times New Roman"/>
                <w:sz w:val="24"/>
                <w:szCs w:val="24"/>
              </w:rPr>
              <w:t xml:space="preserve">(1,2 – 21 mg/l), čo v bežných podmienkach nie je reálne.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Náhla vysoká dávka môže spôsobiť nevoľnosť, zvracanie, hnačky, kardiovaskulárne účinky a 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encefalopatiu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B24733" w14:textId="0EC95680" w:rsidR="00166EA3" w:rsidRPr="007A4303" w:rsidRDefault="00166EA3" w:rsidP="00E61E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Dlhodobý príjem aj malých množstiev má negatívny účinok na pokožku (vznik dermálnych lézi</w:t>
            </w:r>
            <w:r w:rsidR="00A10E18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ako 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perpigmentácia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hyperkeratóza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Dlhodobá expozícia vysokým koncentráciám arzénu </w:t>
            </w:r>
            <w:r w:rsidR="00A10E18">
              <w:rPr>
                <w:rFonts w:ascii="Times New Roman" w:hAnsi="Times New Roman" w:cs="Times New Roman"/>
                <w:sz w:val="24"/>
                <w:szCs w:val="24"/>
              </w:rPr>
              <w:t xml:space="preserve">z pitnej vody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zvyšuje riziko vzniku rakovi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 kože, močového mechúra a</w:t>
            </w:r>
            <w:r w:rsidR="00A10E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obličiek</w:t>
            </w:r>
            <w:r w:rsidR="00A10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3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E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333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10E18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r w:rsidRPr="00763339">
              <w:rPr>
                <w:rFonts w:ascii="Times New Roman" w:hAnsi="Times New Roman" w:cs="Times New Roman"/>
                <w:sz w:val="24"/>
                <w:szCs w:val="24"/>
              </w:rPr>
              <w:t xml:space="preserve">negatívny vplyv na  kardiovaskulárny systém (hypertenzia a iné kardiovaskulárne ochorenia). </w:t>
            </w:r>
          </w:p>
        </w:tc>
      </w:tr>
      <w:tr w:rsidR="00166EA3" w:rsidRPr="00F7686E" w14:paraId="45072ED7" w14:textId="77777777" w:rsidTr="00A10E18">
        <w:trPr>
          <w:trHeight w:val="237"/>
        </w:trPr>
        <w:tc>
          <w:tcPr>
            <w:tcW w:w="1771" w:type="dxa"/>
          </w:tcPr>
          <w:p w14:paraId="4719CA54" w14:textId="6544BF42" w:rsidR="00166EA3" w:rsidRPr="007A4303" w:rsidRDefault="00166EA3" w:rsidP="009A02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Olovo</w:t>
            </w:r>
          </w:p>
        </w:tc>
        <w:tc>
          <w:tcPr>
            <w:tcW w:w="1626" w:type="dxa"/>
          </w:tcPr>
          <w:p w14:paraId="4373E0BE" w14:textId="3E557CB7" w:rsidR="00166EA3" w:rsidRPr="007A4303" w:rsidRDefault="00166EA3" w:rsidP="009A028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10,0 µg/l</w:t>
            </w:r>
          </w:p>
        </w:tc>
        <w:tc>
          <w:tcPr>
            <w:tcW w:w="1134" w:type="dxa"/>
          </w:tcPr>
          <w:p w14:paraId="3813955F" w14:textId="570875EE" w:rsidR="00166EA3" w:rsidRPr="007A4303" w:rsidRDefault="00166EA3" w:rsidP="009A028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66E410FA" w14:textId="6FB8F2F6" w:rsidR="00166EA3" w:rsidRPr="007A4303" w:rsidRDefault="00166EA3" w:rsidP="00E61E4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Olovo je prirodzene sa vyskytujúci </w:t>
            </w:r>
            <w:r w:rsidR="009250EC"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ťažký </w:t>
            </w:r>
            <w:r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kov,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ktorý sa zriedka nachádza v elementárnej podobe. V životnom prostredí je rozptýlený predovšetkým v dôsledku antropo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génnej činnosti. Ku kontaminácii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vodných zdrojov </w:t>
            </w:r>
            <w:r w:rsidR="00D247EA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dochádza </w:t>
            </w:r>
            <w:r w:rsidR="00D247EA">
              <w:rPr>
                <w:rFonts w:ascii="Times New Roman" w:hAnsi="Times New Roman" w:cs="Times New Roman"/>
                <w:sz w:val="24"/>
                <w:szCs w:val="24"/>
              </w:rPr>
              <w:t xml:space="preserve">najmä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pri úniku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olova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z priemyselných odpadových vôd.</w:t>
            </w:r>
          </w:p>
          <w:p w14:paraId="1204EFFF" w14:textId="77777777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AC8EA" w14:textId="77777777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A5E6" w14:textId="7CB1916B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DB71061" w14:textId="50DEC45C" w:rsidR="00166EA3" w:rsidRDefault="00166EA3" w:rsidP="00E61E4F">
            <w:pPr>
              <w:spacing w:before="120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B6BDD">
              <w:rPr>
                <w:rFonts w:ascii="Times New Roman" w:hAnsi="Times New Roman" w:cs="Times New Roman"/>
                <w:sz w:val="24"/>
                <w:szCs w:val="24"/>
              </w:rPr>
              <w:t xml:space="preserve">Olovo sa po vniknutí do organizmu kumuluje, najmä v kostiach, pečeni a obličkách a vylučuje sa len </w:t>
            </w:r>
            <w:proofErr w:type="spellStart"/>
            <w:r w:rsidRPr="007B6BDD">
              <w:rPr>
                <w:rFonts w:ascii="Times New Roman" w:hAnsi="Times New Roman" w:cs="Times New Roman"/>
                <w:sz w:val="24"/>
                <w:szCs w:val="24"/>
              </w:rPr>
              <w:t>obtiažne</w:t>
            </w:r>
            <w:proofErr w:type="spellEnd"/>
            <w:r w:rsidRPr="007B6BDD">
              <w:rPr>
                <w:rFonts w:ascii="Times New Roman" w:hAnsi="Times New Roman" w:cs="Times New Roman"/>
                <w:sz w:val="24"/>
                <w:szCs w:val="24"/>
              </w:rPr>
              <w:t xml:space="preserve">. Chronický príjem i v nízkych dávkach môže viesť k poškodeniu vyvíjajúcich sa nervových tkanív, čo sa u detí prejavuje zhoršením kognitívnych funkcií, poruchami koncentrácie a správania. Preto je expozícia olovom zvlášť nebezpečná pre </w:t>
            </w:r>
            <w:r w:rsidR="002E71B8">
              <w:rPr>
                <w:rFonts w:ascii="Times New Roman" w:hAnsi="Times New Roman" w:cs="Times New Roman"/>
                <w:sz w:val="24"/>
                <w:szCs w:val="24"/>
              </w:rPr>
              <w:t xml:space="preserve">malé deti a pre </w:t>
            </w:r>
            <w:r w:rsidRPr="007B6BDD">
              <w:rPr>
                <w:rFonts w:ascii="Times New Roman" w:hAnsi="Times New Roman" w:cs="Times New Roman"/>
                <w:sz w:val="24"/>
                <w:szCs w:val="24"/>
              </w:rPr>
              <w:t xml:space="preserve">tehotné ženy, nakoľko olovo </w:t>
            </w:r>
            <w:r w:rsidRPr="002E71B8">
              <w:rPr>
                <w:rFonts w:ascii="Times New Roman" w:hAnsi="Times New Roman" w:cs="Times New Roman"/>
                <w:sz w:val="24"/>
                <w:szCs w:val="24"/>
              </w:rPr>
              <w:t>prestupuje</w:t>
            </w:r>
            <w:r w:rsidRPr="007B6BDD">
              <w:rPr>
                <w:rFonts w:ascii="Times New Roman" w:hAnsi="Times New Roman" w:cs="Times New Roman"/>
                <w:sz w:val="24"/>
                <w:szCs w:val="24"/>
              </w:rPr>
              <w:t xml:space="preserve"> z krvi matky do krvi plodu,  aj do materského mlieka</w:t>
            </w:r>
            <w:r w:rsidR="002E7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0FF26" w14:textId="07359C7C" w:rsidR="00166EA3" w:rsidRPr="007B6BDD" w:rsidRDefault="00166EA3" w:rsidP="00E61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DD">
              <w:rPr>
                <w:rFonts w:ascii="Times New Roman" w:hAnsi="Times New Roman" w:cs="Times New Roman"/>
                <w:sz w:val="24"/>
                <w:szCs w:val="24"/>
              </w:rPr>
              <w:t>Má vplyv na prenatálny vývoj (nižšia pôrodná hmotnosť, predčasné narodenie dieťaťa).</w:t>
            </w:r>
          </w:p>
          <w:p w14:paraId="3BC65055" w14:textId="6105D9F0" w:rsidR="00166EA3" w:rsidRPr="00E61E4F" w:rsidRDefault="00166EA3" w:rsidP="00E61E4F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6BDD">
              <w:rPr>
                <w:rFonts w:ascii="Times New Roman" w:hAnsi="Times New Roman" w:cs="Times New Roman"/>
                <w:sz w:val="24"/>
                <w:szCs w:val="24"/>
              </w:rPr>
              <w:t>Účinky stredne dlhej a dlhodobej expozície u dospelých sa prejavujú  negatívnymi vplyvmi na kardiovaskulárny systém (hypertenzia, periférne cievne ochorenia a ochorenia srdca), poškodením funkcií obličiek, a </w:t>
            </w:r>
            <w:proofErr w:type="spellStart"/>
            <w:r w:rsidRPr="007B6BDD">
              <w:rPr>
                <w:rFonts w:ascii="Times New Roman" w:hAnsi="Times New Roman" w:cs="Times New Roman"/>
                <w:sz w:val="24"/>
                <w:szCs w:val="24"/>
              </w:rPr>
              <w:t>neurotoxickými</w:t>
            </w:r>
            <w:proofErr w:type="spellEnd"/>
            <w:r w:rsidRPr="007B6BDD">
              <w:rPr>
                <w:rFonts w:ascii="Times New Roman" w:hAnsi="Times New Roman" w:cs="Times New Roman"/>
                <w:sz w:val="24"/>
                <w:szCs w:val="24"/>
              </w:rPr>
              <w:t xml:space="preserve"> vplyvmi spôsobujúcimi intelektuálne poruchy a poruchy správania.</w:t>
            </w:r>
          </w:p>
        </w:tc>
      </w:tr>
      <w:tr w:rsidR="00166EA3" w:rsidRPr="007A4303" w14:paraId="72D2DE7C" w14:textId="77777777" w:rsidTr="00A10E18">
        <w:trPr>
          <w:trHeight w:val="237"/>
        </w:trPr>
        <w:tc>
          <w:tcPr>
            <w:tcW w:w="1771" w:type="dxa"/>
          </w:tcPr>
          <w:p w14:paraId="61FC5E0D" w14:textId="77777777" w:rsidR="00166EA3" w:rsidRPr="007A4303" w:rsidRDefault="00166EA3" w:rsidP="009250E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Antimón</w:t>
            </w:r>
          </w:p>
        </w:tc>
        <w:tc>
          <w:tcPr>
            <w:tcW w:w="1626" w:type="dxa"/>
          </w:tcPr>
          <w:p w14:paraId="5D54329C" w14:textId="77777777" w:rsidR="00166EA3" w:rsidRPr="007A4303" w:rsidRDefault="00166EA3" w:rsidP="009250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5,0 µg/l</w:t>
            </w:r>
          </w:p>
        </w:tc>
        <w:tc>
          <w:tcPr>
            <w:tcW w:w="1134" w:type="dxa"/>
          </w:tcPr>
          <w:p w14:paraId="219EBD79" w14:textId="7F9EEBD4" w:rsidR="00166EA3" w:rsidRPr="007A4303" w:rsidRDefault="00166EA3" w:rsidP="009250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022660B2" w14:textId="1AD27BD5" w:rsidR="00166EA3" w:rsidRPr="007A4303" w:rsidRDefault="00166EA3" w:rsidP="00F46F4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171908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Antimón je </w:t>
            </w:r>
            <w:r w:rsidR="009250EC">
              <w:rPr>
                <w:rFonts w:ascii="Times New Roman" w:hAnsi="Times New Roman" w:cs="Times New Roman"/>
                <w:sz w:val="24"/>
                <w:szCs w:val="24"/>
              </w:rPr>
              <w:t>prirodzene sa vyskytujúc</w:t>
            </w:r>
            <w:r w:rsidR="009250EC"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i ťažký kov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a do vody sa dostáva prirodzeným zvetrávaním pôdy.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yššie </w:t>
            </w:r>
            <w:r w:rsidR="00C2688A">
              <w:rPr>
                <w:rFonts w:ascii="Times New Roman" w:hAnsi="Times New Roman" w:cs="Times New Roman"/>
                <w:sz w:val="24"/>
                <w:szCs w:val="24"/>
              </w:rPr>
              <w:t>koncentrácie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antimónu a arzénu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 povrchových a v podzemných vodách sa prirodzene môžu nachádzať v oblastiach s výskytom rudných formácií a asociácií v horninovom prostredí. Na Slovensku sa antimón vyskytuje v zdrojoch vody v Malých Karpatoch, Nízkych Tatrách a v Spišsko-gemerskom rudohorí, čoho dôsledkom sú aj zistené nadlimitné množstvá v oblasti CHVO Nízke Tatry.</w:t>
            </w:r>
          </w:p>
          <w:p w14:paraId="15582DDC" w14:textId="478A965F" w:rsidR="00166EA3" w:rsidRPr="007A4303" w:rsidRDefault="00166EA3" w:rsidP="00F46F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Zvýšené koncentrácie antimónu spolu s arzénom v pôde, riečnych sedimentoch a vo vode na niektorých lokalitách môžu byť </w:t>
            </w:r>
            <w:r w:rsidRPr="00B474A5">
              <w:rPr>
                <w:rFonts w:ascii="Times New Roman" w:hAnsi="Times New Roman" w:cs="Times New Roman"/>
                <w:sz w:val="24"/>
                <w:szCs w:val="24"/>
              </w:rPr>
              <w:t>dôsledk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B474A5">
              <w:rPr>
                <w:rFonts w:ascii="Times New Roman" w:hAnsi="Times New Roman" w:cs="Times New Roman"/>
                <w:sz w:val="24"/>
                <w:szCs w:val="24"/>
              </w:rPr>
              <w:t xml:space="preserve"> antropogénnej činnosti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počas ťažby rúd, ich úprav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a z pozostatkov ťažby vo forme 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odkalísk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a výtokov z opustených banských štôlni, ale aj uvoľňovaním do prostredia v blízkosti skládok odpadu, spaľovní odpadu alebo priemyselných odvetví ktoré spracúvajú antimónové rudy</w:t>
            </w:r>
            <w:bookmarkEnd w:id="1"/>
            <w:r w:rsidR="00C1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14:paraId="72E4164E" w14:textId="77777777" w:rsidR="00166EA3" w:rsidRPr="007A4303" w:rsidRDefault="00166EA3" w:rsidP="00F46F4F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Antimón je toxický ťažký kov, ktorý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svojimi účinkami prirovnáva k arzénu a k olovu.</w:t>
            </w:r>
          </w:p>
          <w:p w14:paraId="3338A6D2" w14:textId="33D8531E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Nemá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akútny toxický </w:t>
            </w:r>
            <w:r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účinok v prípade </w:t>
            </w:r>
            <w:r w:rsidR="00D247EA">
              <w:rPr>
                <w:rFonts w:ascii="Times New Roman" w:hAnsi="Times New Roman" w:cs="Times New Roman"/>
                <w:sz w:val="24"/>
                <w:szCs w:val="24"/>
              </w:rPr>
              <w:t xml:space="preserve">krátkodobého </w:t>
            </w:r>
            <w:r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príjmu </w:t>
            </w:r>
            <w:r w:rsidR="00007EC0"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z pitnej </w:t>
            </w:r>
            <w:r w:rsidRPr="00D247EA">
              <w:rPr>
                <w:rFonts w:ascii="Times New Roman" w:hAnsi="Times New Roman" w:cs="Times New Roman"/>
                <w:sz w:val="24"/>
                <w:szCs w:val="24"/>
              </w:rPr>
              <w:t>vod</w:t>
            </w:r>
            <w:r w:rsidR="00007EC0" w:rsidRPr="00D247E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247EA">
              <w:rPr>
                <w:rFonts w:ascii="Times New Roman" w:hAnsi="Times New Roman" w:cs="Times New Roman"/>
                <w:sz w:val="24"/>
                <w:szCs w:val="24"/>
              </w:rPr>
              <w:t xml:space="preserve">, avšak pri dlhodobom príjme predstavuje riziko vzhľadom na jeho možné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chronické pôsobenie na zdravie, pričom zlúčeniny trojmocného antimónu sú toxickejšie ako zlúčeniny päťmocného antimónu. </w:t>
            </w:r>
          </w:p>
          <w:p w14:paraId="1F64A321" w14:textId="77777777" w:rsidR="00166EA3" w:rsidRPr="007A4303" w:rsidRDefault="00166EA3" w:rsidP="008220D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1B" w:rsidRPr="007A4303" w14:paraId="44AD0354" w14:textId="77777777" w:rsidTr="00A10E18">
        <w:trPr>
          <w:trHeight w:val="237"/>
        </w:trPr>
        <w:tc>
          <w:tcPr>
            <w:tcW w:w="1771" w:type="dxa"/>
          </w:tcPr>
          <w:p w14:paraId="2A6E9DD4" w14:textId="75204DD1" w:rsidR="0004021B" w:rsidRPr="007A4303" w:rsidRDefault="0004021B" w:rsidP="009250E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Nikel</w:t>
            </w:r>
          </w:p>
        </w:tc>
        <w:tc>
          <w:tcPr>
            <w:tcW w:w="1626" w:type="dxa"/>
          </w:tcPr>
          <w:p w14:paraId="70A9A082" w14:textId="18EAC2AF" w:rsidR="0004021B" w:rsidRPr="007A4303" w:rsidRDefault="00F37038" w:rsidP="009250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1134" w:type="dxa"/>
          </w:tcPr>
          <w:p w14:paraId="367F9AE8" w14:textId="6556FB3B" w:rsidR="0004021B" w:rsidRDefault="00F37038" w:rsidP="009250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58667D89" w14:textId="52E9989D" w:rsidR="0004021B" w:rsidRPr="00D36B18" w:rsidRDefault="00D36B18" w:rsidP="003A7EE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8">
              <w:rPr>
                <w:rFonts w:ascii="Times New Roman" w:hAnsi="Times New Roman" w:cs="Times New Roman"/>
                <w:sz w:val="24"/>
                <w:szCs w:val="24"/>
              </w:rPr>
              <w:t>Nikel je prirodzene sa vyskytujúci ťažký kov. e prítomný vo viacerých mineráloch spolu so sírou, arzénom a antimónom, nachádza sa tiež v pôde.</w:t>
            </w:r>
          </w:p>
        </w:tc>
        <w:tc>
          <w:tcPr>
            <w:tcW w:w="5470" w:type="dxa"/>
          </w:tcPr>
          <w:p w14:paraId="6EEAE701" w14:textId="37FEBCDD" w:rsidR="0004021B" w:rsidRPr="00D36B18" w:rsidRDefault="00D36B18" w:rsidP="003A7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8">
              <w:rPr>
                <w:rFonts w:ascii="Times New Roman" w:hAnsi="Times New Roman" w:cs="Times New Roman"/>
                <w:sz w:val="24"/>
                <w:szCs w:val="24"/>
              </w:rPr>
              <w:t>Nadbytok niklu v organizme poškodzuje sliznice, spôsobuje alergické reakcie, chromozomálne zmeny, zmeny v kostnej dreni, môže sa zúčastňovať na rozvoji nádorových buniek. Nadbytok niklu znižuje hladinu horčíku a zinku v parenchymatických orgánoch.</w:t>
            </w:r>
          </w:p>
        </w:tc>
      </w:tr>
      <w:tr w:rsidR="0004021B" w:rsidRPr="007A4303" w14:paraId="73B291AE" w14:textId="77777777" w:rsidTr="00A10E18">
        <w:trPr>
          <w:trHeight w:val="237"/>
        </w:trPr>
        <w:tc>
          <w:tcPr>
            <w:tcW w:w="1771" w:type="dxa"/>
          </w:tcPr>
          <w:p w14:paraId="1A54350B" w14:textId="4195CE7E" w:rsidR="0004021B" w:rsidRPr="007A4303" w:rsidRDefault="00F37038" w:rsidP="009250E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Trihalometány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spolu</w:t>
            </w:r>
          </w:p>
        </w:tc>
        <w:tc>
          <w:tcPr>
            <w:tcW w:w="1626" w:type="dxa"/>
          </w:tcPr>
          <w:p w14:paraId="2B83A5F0" w14:textId="6D897642" w:rsidR="0004021B" w:rsidRPr="007A4303" w:rsidRDefault="00F37038" w:rsidP="009250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 mg/l</w:t>
            </w:r>
          </w:p>
        </w:tc>
        <w:tc>
          <w:tcPr>
            <w:tcW w:w="1134" w:type="dxa"/>
          </w:tcPr>
          <w:p w14:paraId="7481B1D7" w14:textId="409B5443" w:rsidR="0004021B" w:rsidRDefault="00F37038" w:rsidP="009250E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2E907427" w14:textId="1E58867E" w:rsidR="0004021B" w:rsidRPr="002D5F57" w:rsidRDefault="002D5F57" w:rsidP="003A7EE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F57">
              <w:rPr>
                <w:rFonts w:ascii="Times New Roman" w:hAnsi="Times New Roman" w:cs="Times New Roman"/>
                <w:sz w:val="24"/>
                <w:szCs w:val="24"/>
              </w:rPr>
              <w:t>Trihalometány</w:t>
            </w:r>
            <w:proofErr w:type="spellEnd"/>
            <w:r w:rsidRPr="002D5F57">
              <w:rPr>
                <w:rFonts w:ascii="Times New Roman" w:hAnsi="Times New Roman" w:cs="Times New Roman"/>
                <w:sz w:val="24"/>
                <w:szCs w:val="24"/>
              </w:rPr>
              <w:t xml:space="preserve"> sú organické látky, ktoré vo vode vznikajú v dôsledku chlórovania ako vedľajšie produkty dezinfekcie. </w:t>
            </w:r>
          </w:p>
        </w:tc>
        <w:tc>
          <w:tcPr>
            <w:tcW w:w="5470" w:type="dxa"/>
          </w:tcPr>
          <w:p w14:paraId="51167DA6" w14:textId="77777777" w:rsidR="002D5F57" w:rsidRPr="002D5F57" w:rsidRDefault="002D5F57" w:rsidP="003A7EE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57">
              <w:rPr>
                <w:rFonts w:ascii="Times New Roman" w:hAnsi="Times New Roman" w:cs="Times New Roman"/>
                <w:sz w:val="24"/>
                <w:szCs w:val="24"/>
              </w:rPr>
              <w:t>Niektoré z </w:t>
            </w:r>
            <w:proofErr w:type="spellStart"/>
            <w:r w:rsidRPr="002D5F57">
              <w:rPr>
                <w:rFonts w:ascii="Times New Roman" w:hAnsi="Times New Roman" w:cs="Times New Roman"/>
                <w:sz w:val="24"/>
                <w:szCs w:val="24"/>
              </w:rPr>
              <w:t>trihalometánov</w:t>
            </w:r>
            <w:proofErr w:type="spellEnd"/>
            <w:r w:rsidRPr="002D5F57">
              <w:rPr>
                <w:rFonts w:ascii="Times New Roman" w:hAnsi="Times New Roman" w:cs="Times New Roman"/>
                <w:sz w:val="24"/>
                <w:szCs w:val="24"/>
              </w:rPr>
              <w:t xml:space="preserve"> sú karcinogénne a majú nepriaznivé účinky na reprodukciu a vývoj.</w:t>
            </w:r>
          </w:p>
          <w:p w14:paraId="76C4B722" w14:textId="77777777" w:rsidR="0004021B" w:rsidRPr="002D5F57" w:rsidRDefault="0004021B" w:rsidP="003A7EE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A3" w:rsidRPr="00F7686E" w14:paraId="515BB47D" w14:textId="77777777" w:rsidTr="00A10E18">
        <w:trPr>
          <w:trHeight w:val="251"/>
        </w:trPr>
        <w:tc>
          <w:tcPr>
            <w:tcW w:w="1771" w:type="dxa"/>
          </w:tcPr>
          <w:p w14:paraId="3F9CB54A" w14:textId="618299D4" w:rsidR="00166EA3" w:rsidRPr="007A4303" w:rsidRDefault="00166EA3" w:rsidP="003A544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2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Benzo</w:t>
            </w:r>
            <w:proofErr w:type="spellEnd"/>
            <w:r w:rsidRPr="00772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</w:t>
            </w:r>
            <w:proofErr w:type="spellStart"/>
            <w:r w:rsidRPr="00772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pyrén</w:t>
            </w:r>
            <w:proofErr w:type="spellEnd"/>
          </w:p>
        </w:tc>
        <w:tc>
          <w:tcPr>
            <w:tcW w:w="1626" w:type="dxa"/>
          </w:tcPr>
          <w:p w14:paraId="79E3A0C9" w14:textId="165D2083" w:rsidR="00166EA3" w:rsidRPr="007A4303" w:rsidRDefault="00166EA3" w:rsidP="003A54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0,010 µg/l</w:t>
            </w:r>
          </w:p>
        </w:tc>
        <w:tc>
          <w:tcPr>
            <w:tcW w:w="1134" w:type="dxa"/>
          </w:tcPr>
          <w:p w14:paraId="23B57304" w14:textId="2BD01945" w:rsidR="00166EA3" w:rsidRPr="007A4303" w:rsidRDefault="00166EA3" w:rsidP="003A544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478BBE9D" w14:textId="61D7827A" w:rsidR="00166EA3" w:rsidRPr="00F720A7" w:rsidRDefault="00166EA3" w:rsidP="000375E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Benzo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pyrén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nie je prirodzenou súčasťou životného prostredia. Vzniká antropogénnou činnosťou ako </w:t>
            </w:r>
            <w:r w:rsidRPr="00F720A7">
              <w:rPr>
                <w:rFonts w:ascii="Times New Roman" w:hAnsi="Times New Roman" w:cs="Times New Roman"/>
                <w:sz w:val="24"/>
                <w:szCs w:val="24"/>
              </w:rPr>
              <w:t xml:space="preserve">vedľajší produkt viacerých priemyselných procesov. Je výsledkom nedokonalého spaľovania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organických látok. Nachádza sa predovšetkým v benzínových a naftových výfukových plynoch, tabakovom dyme, uhoľnom dechte, ropnom asfalte, sadzovom </w:t>
            </w:r>
            <w:r w:rsidRPr="00F720A7">
              <w:rPr>
                <w:rFonts w:ascii="Times New Roman" w:hAnsi="Times New Roman" w:cs="Times New Roman"/>
                <w:sz w:val="24"/>
                <w:szCs w:val="24"/>
              </w:rPr>
              <w:t xml:space="preserve">dyme, v  niektorých potravinách, a to najmä v grilovanom mäse a v údeninách. Významným zdrojom expozície môže byť  grilovanie potravín na drevenom uhlí.  </w:t>
            </w:r>
          </w:p>
          <w:p w14:paraId="2C9C351C" w14:textId="227FE6F3" w:rsidR="00166EA3" w:rsidRPr="007A4303" w:rsidRDefault="00166EA3" w:rsidP="00F720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Ľahko preniká do pôdy a kontaminuje vody. V povrchových vodách rýchlo sedimentuje, rozkladá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 vplyvom slnečného svetla ale aj mikrobiálnej činnosti.</w:t>
            </w:r>
          </w:p>
        </w:tc>
        <w:tc>
          <w:tcPr>
            <w:tcW w:w="5470" w:type="dxa"/>
          </w:tcPr>
          <w:p w14:paraId="226E7167" w14:textId="34D19B36" w:rsidR="007723A8" w:rsidRDefault="007723A8" w:rsidP="007723A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Krátkodobá expozícia môže mať za následok poškodenie červených krviniek vedúce k</w:t>
            </w:r>
            <w:r w:rsidR="003A5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anémií</w:t>
            </w:r>
            <w:r w:rsidR="003A5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zníženie funkcie imunitného systému organizmu. </w:t>
            </w:r>
            <w:r w:rsidRPr="007A4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Pri dlhodobom príjme </w:t>
            </w:r>
            <w:r w:rsidR="003A544D" w:rsidRPr="007A4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má karcinogénne účinky </w:t>
            </w:r>
            <w:r w:rsidR="003A54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r w:rsidRPr="007A4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môže ohroziť zdravý vývoj plodu a reprodukciu. </w:t>
            </w:r>
          </w:p>
          <w:p w14:paraId="129BA14E" w14:textId="02013EC5" w:rsidR="007723A8" w:rsidRPr="007A4303" w:rsidRDefault="007723A8" w:rsidP="007723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9F27AC" w14:textId="77777777" w:rsidR="00166EA3" w:rsidRPr="007A4303" w:rsidRDefault="00166EA3" w:rsidP="008220D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AE30D6" w14:textId="03037A45" w:rsidR="00166EA3" w:rsidRPr="007A4303" w:rsidRDefault="00166EA3" w:rsidP="0082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A3" w:rsidRPr="00F7686E" w14:paraId="1C66B7CA" w14:textId="77777777" w:rsidTr="00A10E18">
        <w:trPr>
          <w:trHeight w:val="237"/>
        </w:trPr>
        <w:tc>
          <w:tcPr>
            <w:tcW w:w="1771" w:type="dxa"/>
          </w:tcPr>
          <w:p w14:paraId="46280829" w14:textId="6B68D859" w:rsidR="00166EA3" w:rsidRPr="007A4303" w:rsidRDefault="00166EA3" w:rsidP="0068333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1,2-dichlóretán</w:t>
            </w:r>
          </w:p>
        </w:tc>
        <w:tc>
          <w:tcPr>
            <w:tcW w:w="1626" w:type="dxa"/>
          </w:tcPr>
          <w:p w14:paraId="08CDE431" w14:textId="6096F2A8" w:rsidR="00166EA3" w:rsidRPr="007A4303" w:rsidRDefault="00166EA3" w:rsidP="0068333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3,0 µg/l</w:t>
            </w:r>
          </w:p>
        </w:tc>
        <w:tc>
          <w:tcPr>
            <w:tcW w:w="1134" w:type="dxa"/>
          </w:tcPr>
          <w:p w14:paraId="35BF56B8" w14:textId="62336B1C" w:rsidR="00166EA3" w:rsidRPr="007A4303" w:rsidRDefault="004B130C" w:rsidP="0068333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7AC0079B" w14:textId="77777777" w:rsidR="004F2990" w:rsidRDefault="00166EA3" w:rsidP="004F299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1,2-dichlóretán nie je prirodzeno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súčasťou životného prostredia.</w:t>
            </w:r>
            <w:r w:rsidR="004F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Do prostredia sa dostáva odpadovými vodami z chemického priemyslu. </w:t>
            </w:r>
            <w:r w:rsidR="003205FA">
              <w:rPr>
                <w:rFonts w:ascii="Times New Roman" w:hAnsi="Times New Roman" w:cs="Times New Roman"/>
                <w:sz w:val="24"/>
                <w:szCs w:val="24"/>
              </w:rPr>
              <w:t>V podzemnej vode m</w:t>
            </w:r>
            <w:r w:rsidRPr="0082348C">
              <w:rPr>
                <w:rFonts w:ascii="Times New Roman" w:hAnsi="Times New Roman" w:cs="Times New Roman"/>
                <w:sz w:val="24"/>
                <w:szCs w:val="24"/>
              </w:rPr>
              <w:t>ôže perzistovať dlhú dobu.</w:t>
            </w:r>
            <w:r w:rsidR="004F2990"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7D05D" w14:textId="33F0CA02" w:rsidR="00166EA3" w:rsidRPr="007A4303" w:rsidRDefault="004F2990" w:rsidP="004F299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Používa sa hlavne pri výrobe 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vinylchloridu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trichloretylénu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vinylidenchloridu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trichlóretánu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, ako rozpúšťadlo pre tuky, lepidlá, živice, vosky, ale aj ako zachytávač olova v benzínoch, na odstraňovanie farieb, lakov a povrchových úprav..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atď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70" w:type="dxa"/>
          </w:tcPr>
          <w:p w14:paraId="58BA9C6E" w14:textId="78E02D2F" w:rsidR="00166EA3" w:rsidRPr="007A4303" w:rsidRDefault="00166EA3" w:rsidP="0082348C">
            <w:pPr>
              <w:pStyle w:val="Normlnywebov"/>
              <w:shd w:val="clear" w:color="auto" w:fill="FFFFFF"/>
              <w:spacing w:before="120" w:beforeAutospacing="0" w:after="0" w:afterAutospacing="0"/>
              <w:jc w:val="both"/>
            </w:pPr>
            <w:r w:rsidRPr="007A4303">
              <w:t xml:space="preserve">Akútna expozícia vdýchnutím alebo </w:t>
            </w:r>
            <w:proofErr w:type="spellStart"/>
            <w:r w:rsidRPr="007A4303">
              <w:t>ingesciou</w:t>
            </w:r>
            <w:proofErr w:type="spellEnd"/>
            <w:r w:rsidRPr="007A4303">
              <w:t xml:space="preserve"> (užitím) má negatívny účinok na centrálny nervový systém,</w:t>
            </w:r>
            <w:r w:rsidR="004B130C">
              <w:t xml:space="preserve"> </w:t>
            </w:r>
            <w:r w:rsidRPr="007A4303">
              <w:t>pečeň,</w:t>
            </w:r>
            <w:r w:rsidR="004B130C">
              <w:t xml:space="preserve"> </w:t>
            </w:r>
            <w:r w:rsidRPr="007A4303">
              <w:t>obličky,</w:t>
            </w:r>
            <w:r w:rsidR="004B130C">
              <w:t xml:space="preserve"> </w:t>
            </w:r>
            <w:r w:rsidRPr="007A4303">
              <w:t>pľúca</w:t>
            </w:r>
            <w:r w:rsidR="004B130C">
              <w:t xml:space="preserve"> </w:t>
            </w:r>
            <w:r w:rsidRPr="007A4303">
              <w:t>a kardiovaskulárny systém.</w:t>
            </w:r>
          </w:p>
          <w:p w14:paraId="6FC17233" w14:textId="4B2340F5" w:rsidR="00166EA3" w:rsidRPr="007A4303" w:rsidRDefault="00166EA3" w:rsidP="0082348C">
            <w:pPr>
              <w:pStyle w:val="Normlnywebov"/>
              <w:shd w:val="clear" w:color="auto" w:fill="FFFFFF"/>
              <w:spacing w:before="0" w:beforeAutospacing="0" w:after="0" w:afterAutospacing="0"/>
              <w:jc w:val="both"/>
            </w:pPr>
            <w:r w:rsidRPr="007A4303">
              <w:t>Spôsobuje nevoľnosť, zvracanie, kašeľ, bolesť hlavy, závraty, ospalosť až bezvedomie.</w:t>
            </w:r>
          </w:p>
        </w:tc>
      </w:tr>
      <w:tr w:rsidR="00166EA3" w:rsidRPr="00F7686E" w14:paraId="587952F4" w14:textId="77777777" w:rsidTr="00A10E18">
        <w:trPr>
          <w:trHeight w:val="251"/>
        </w:trPr>
        <w:tc>
          <w:tcPr>
            <w:tcW w:w="1771" w:type="dxa"/>
          </w:tcPr>
          <w:p w14:paraId="2BA57E0D" w14:textId="63EDCF9D" w:rsidR="00166EA3" w:rsidRPr="007A4303" w:rsidRDefault="00166EA3" w:rsidP="0051323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Tetrachlóretén</w:t>
            </w:r>
            <w:proofErr w:type="spellEnd"/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4B1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richlóretén</w:t>
            </w:r>
            <w:proofErr w:type="spellEnd"/>
          </w:p>
        </w:tc>
        <w:tc>
          <w:tcPr>
            <w:tcW w:w="1626" w:type="dxa"/>
          </w:tcPr>
          <w:p w14:paraId="06E17F02" w14:textId="2DB0E212" w:rsidR="00166EA3" w:rsidRPr="007A4303" w:rsidRDefault="00166EA3" w:rsidP="0051323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10,0 µg/l</w:t>
            </w:r>
          </w:p>
        </w:tc>
        <w:tc>
          <w:tcPr>
            <w:tcW w:w="1134" w:type="dxa"/>
          </w:tcPr>
          <w:p w14:paraId="16B9B9B8" w14:textId="3E11D556" w:rsidR="00166EA3" w:rsidRPr="007A4303" w:rsidRDefault="004B130C" w:rsidP="0051323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13D231BE" w14:textId="6C595BE3" w:rsidR="00166EA3" w:rsidRPr="007A4303" w:rsidRDefault="00166EA3" w:rsidP="0082348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Nie sú prirodzenou súčasťou životného prostredia.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Ako dôsledok znečistenia 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>životného prostredia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v stopových množstvách nachádzajú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 vode, vodných organizmoch, potravinách i v ľudských tkanivách.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prítomnosť úzko súvisí s umiestnením skládky nebezpečného odpadu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alebo zariaden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kde sa používajú. K expozícii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môže dôjsť v oblastiach spaľovní alebo cementárskych pecí. Používajú sa ako chemický medziprodukt pri výrobe chemikálií.  </w:t>
            </w:r>
            <w:proofErr w:type="spellStart"/>
            <w:r w:rsidRPr="0082348C">
              <w:rPr>
                <w:rFonts w:ascii="Times New Roman" w:hAnsi="Times New Roman" w:cs="Times New Roman"/>
                <w:sz w:val="24"/>
                <w:szCs w:val="24"/>
              </w:rPr>
              <w:t>Tetrachlóretén</w:t>
            </w:r>
            <w:proofErr w:type="spellEnd"/>
            <w:r w:rsidRPr="0082348C">
              <w:rPr>
                <w:rFonts w:ascii="Times New Roman" w:hAnsi="Times New Roman" w:cs="Times New Roman"/>
                <w:sz w:val="24"/>
                <w:szCs w:val="24"/>
              </w:rPr>
              <w:t xml:space="preserve"> môže v </w:t>
            </w:r>
            <w:proofErr w:type="spellStart"/>
            <w:r w:rsidRPr="0082348C">
              <w:rPr>
                <w:rFonts w:ascii="Times New Roman" w:hAnsi="Times New Roman" w:cs="Times New Roman"/>
                <w:sz w:val="24"/>
                <w:szCs w:val="24"/>
              </w:rPr>
              <w:t>anaerobnom</w:t>
            </w:r>
            <w:proofErr w:type="spellEnd"/>
            <w:r w:rsidRPr="0082348C">
              <w:rPr>
                <w:rFonts w:ascii="Times New Roman" w:hAnsi="Times New Roman" w:cs="Times New Roman"/>
                <w:sz w:val="24"/>
                <w:szCs w:val="24"/>
              </w:rPr>
              <w:t xml:space="preserve"> prostredí podzemných vôd degradovať na toxickejšie zlúčeniny, vrátane </w:t>
            </w:r>
            <w:proofErr w:type="spellStart"/>
            <w:r w:rsidRPr="0082348C">
              <w:rPr>
                <w:rFonts w:ascii="Times New Roman" w:hAnsi="Times New Roman" w:cs="Times New Roman"/>
                <w:sz w:val="24"/>
                <w:szCs w:val="24"/>
              </w:rPr>
              <w:t>vinylchloridu</w:t>
            </w:r>
            <w:proofErr w:type="spellEnd"/>
            <w:r w:rsidRPr="00823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0" w:type="dxa"/>
          </w:tcPr>
          <w:p w14:paraId="0889F355" w14:textId="77777777" w:rsidR="00166EA3" w:rsidRPr="007A4303" w:rsidRDefault="00166EA3" w:rsidP="0082348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Náhly príjem vysokého množstva môže spôsobiť poškodenie myokardu, zníženie krvného tlaku, slabosť, únavu, závraty až bezvedomie.</w:t>
            </w:r>
          </w:p>
          <w:p w14:paraId="01CAFA7A" w14:textId="649D373E" w:rsidR="00166EA3" w:rsidRPr="007A4303" w:rsidRDefault="00166EA3" w:rsidP="0082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8C">
              <w:rPr>
                <w:rFonts w:ascii="Times New Roman" w:hAnsi="Times New Roman" w:cs="Times New Roman"/>
                <w:sz w:val="24"/>
                <w:szCs w:val="24"/>
              </w:rPr>
              <w:t>Pri expozícii nižším množstvám boli zistené negatívne účinky na pečeň a obličky.</w:t>
            </w:r>
          </w:p>
        </w:tc>
      </w:tr>
      <w:tr w:rsidR="00166EA3" w:rsidRPr="00F7686E" w14:paraId="1E0F9593" w14:textId="77777777" w:rsidTr="00A10E18">
        <w:trPr>
          <w:trHeight w:val="488"/>
        </w:trPr>
        <w:tc>
          <w:tcPr>
            <w:tcW w:w="1771" w:type="dxa"/>
          </w:tcPr>
          <w:p w14:paraId="15A8927B" w14:textId="77777777" w:rsidR="00166EA3" w:rsidRDefault="00166EA3" w:rsidP="00BE6B99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Polycyklické</w:t>
            </w:r>
            <w:proofErr w:type="spellEnd"/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aromatické uhľovodíky </w:t>
            </w:r>
          </w:p>
          <w:p w14:paraId="417044BD" w14:textId="660FF5AB" w:rsidR="008A5703" w:rsidRPr="007A4303" w:rsidRDefault="008A5703" w:rsidP="00822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</w:tcPr>
          <w:p w14:paraId="0B09E84C" w14:textId="2818CB0C" w:rsidR="00166EA3" w:rsidRPr="007A4303" w:rsidRDefault="00166EA3" w:rsidP="00BE6B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0,10 µg/l</w:t>
            </w:r>
          </w:p>
        </w:tc>
        <w:tc>
          <w:tcPr>
            <w:tcW w:w="1134" w:type="dxa"/>
          </w:tcPr>
          <w:p w14:paraId="72E143CA" w14:textId="0D50A0A7" w:rsidR="00166EA3" w:rsidRPr="007A4303" w:rsidRDefault="004B130C" w:rsidP="00BE6B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5E67DBF6" w14:textId="40D3C16F" w:rsidR="00166EA3" w:rsidRPr="007A4303" w:rsidRDefault="00166EA3" w:rsidP="0082348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Nie sú prirodzenou súčasťou životného prostredia. Vznikajú pri 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 xml:space="preserve">nedokonalom spaľovaní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akýchkoľvek materiálov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obsahujúcich uhlík. Ich prítomnosť možno očakávať všade tam, kde sa nachádzajú vysokoteplotné ropné či uhoľné produkty (dechty, asfalty). </w:t>
            </w:r>
            <w:r w:rsidR="008A5703">
              <w:rPr>
                <w:rFonts w:ascii="Times New Roman" w:hAnsi="Times New Roman" w:cs="Times New Roman"/>
                <w:sz w:val="24"/>
                <w:szCs w:val="24"/>
              </w:rPr>
              <w:t>Ich z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drojom môže byť aj výroba hliníka. </w:t>
            </w:r>
            <w:r w:rsidRPr="007A4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Významnými zdrojmi znečistenia sú aj spaľovacie motory dopravných prostriedkov alebo individuálne vykurovanie. Vo vnútornom prostredí môžu byť významným zdrojom cigaretový dym, sviečky a vonné tyčinky alebo tepelná úprava potravín (napr. grilovanie).</w:t>
            </w:r>
          </w:p>
          <w:p w14:paraId="162152BA" w14:textId="3A97A133" w:rsidR="00166EA3" w:rsidRPr="007A4303" w:rsidRDefault="008A5703" w:rsidP="008234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="00166EA3" w:rsidRPr="007A4303">
              <w:rPr>
                <w:rFonts w:ascii="Times New Roman" w:hAnsi="Times New Roman" w:cs="Times New Roman"/>
                <w:sz w:val="24"/>
                <w:szCs w:val="24"/>
              </w:rPr>
              <w:t>ú veľmi málo rozpustné vo vode.</w:t>
            </w:r>
          </w:p>
        </w:tc>
        <w:tc>
          <w:tcPr>
            <w:tcW w:w="5470" w:type="dxa"/>
          </w:tcPr>
          <w:p w14:paraId="0A3E8600" w14:textId="0F828877" w:rsidR="00166EA3" w:rsidRPr="007A4303" w:rsidRDefault="00166EA3" w:rsidP="0082348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007EC0">
              <w:rPr>
                <w:rFonts w:ascii="Times New Roman" w:hAnsi="Times New Roman" w:cs="Times New Roman"/>
                <w:sz w:val="24"/>
                <w:szCs w:val="24"/>
              </w:rPr>
              <w:t>olycyklické</w:t>
            </w:r>
            <w:proofErr w:type="spellEnd"/>
            <w:r w:rsidR="00007EC0">
              <w:rPr>
                <w:rFonts w:ascii="Times New Roman" w:hAnsi="Times New Roman" w:cs="Times New Roman"/>
                <w:sz w:val="24"/>
                <w:szCs w:val="24"/>
              </w:rPr>
              <w:t xml:space="preserve"> aromatické uhľovodíky p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redstavujú skupinu látok s rôznymi toxickými vlastnosťami, niektoré môžu mať karcinogénne účinky a ohroziť zdravý vývoj plodu.</w:t>
            </w:r>
          </w:p>
          <w:p w14:paraId="703BE8CF" w14:textId="52510BCD" w:rsidR="00166EA3" w:rsidRPr="007A4303" w:rsidRDefault="00166EA3" w:rsidP="0082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F5601" w14:textId="5E8A99CB" w:rsidR="00166EA3" w:rsidRPr="007A4303" w:rsidRDefault="00166EA3" w:rsidP="0082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EA3" w:rsidRPr="00F7686E" w14:paraId="7CA607F9" w14:textId="77777777" w:rsidTr="00A10E18">
        <w:trPr>
          <w:trHeight w:val="251"/>
        </w:trPr>
        <w:tc>
          <w:tcPr>
            <w:tcW w:w="1771" w:type="dxa"/>
          </w:tcPr>
          <w:p w14:paraId="56E9F9C6" w14:textId="4640F4A9" w:rsidR="00166EA3" w:rsidRPr="007A4303" w:rsidRDefault="00166EA3" w:rsidP="00BE6B99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Vinylchlorid</w:t>
            </w:r>
            <w:proofErr w:type="spellEnd"/>
          </w:p>
        </w:tc>
        <w:tc>
          <w:tcPr>
            <w:tcW w:w="1626" w:type="dxa"/>
          </w:tcPr>
          <w:p w14:paraId="692004CF" w14:textId="004C6B06" w:rsidR="00166EA3" w:rsidRPr="007A4303" w:rsidRDefault="00166EA3" w:rsidP="00BE6B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0,50 µg/l</w:t>
            </w:r>
          </w:p>
        </w:tc>
        <w:tc>
          <w:tcPr>
            <w:tcW w:w="1134" w:type="dxa"/>
          </w:tcPr>
          <w:p w14:paraId="63B040C6" w14:textId="0D2CE4A3" w:rsidR="00166EA3" w:rsidRPr="0082348C" w:rsidRDefault="004570CD" w:rsidP="00BE6B99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54FAB8C6" w14:textId="46F297A4" w:rsidR="00166EA3" w:rsidRPr="007A4303" w:rsidRDefault="00166EA3" w:rsidP="0082348C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48C">
              <w:rPr>
                <w:rFonts w:ascii="Times New Roman" w:hAnsi="Times New Roman" w:cs="Times New Roman"/>
                <w:sz w:val="24"/>
                <w:szCs w:val="24"/>
              </w:rPr>
              <w:t>Nie je prirodzenou súčasťou životného prostredi</w:t>
            </w:r>
            <w:r w:rsidRPr="00007EC0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Jeho prítomnosť v podzemnej vode a v ovzduší môže byť spôsobená uvoľňovaním do prostredia počas výroby a použitia, ale aj v dôsledku degradačných procesov chlórovaných rozpúšťadiel 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trichlóretán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tetrachlóretán</w:t>
            </w:r>
            <w:proofErr w:type="spellEnd"/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4F6DA" w14:textId="77777777" w:rsidR="00166EA3" w:rsidRPr="007A4303" w:rsidRDefault="00166EA3" w:rsidP="008220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A9DD0" w14:textId="77777777" w:rsidR="00166EA3" w:rsidRPr="007A4303" w:rsidRDefault="00166EA3" w:rsidP="0082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57E9" w14:textId="6D5A6A37" w:rsidR="00166EA3" w:rsidRPr="007A4303" w:rsidRDefault="00166EA3" w:rsidP="0082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14:paraId="3B6D5056" w14:textId="253A671E" w:rsidR="00166EA3" w:rsidRPr="007A4303" w:rsidRDefault="00007EC0" w:rsidP="0082348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F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6D0AFF" w:rsidRPr="006D0AFF">
              <w:rPr>
                <w:rFonts w:ascii="Times New Roman" w:hAnsi="Times New Roman" w:cs="Times New Roman"/>
                <w:sz w:val="24"/>
                <w:szCs w:val="24"/>
              </w:rPr>
              <w:t xml:space="preserve">pitnej </w:t>
            </w:r>
            <w:r w:rsidRPr="006D0AFF">
              <w:rPr>
                <w:rFonts w:ascii="Times New Roman" w:hAnsi="Times New Roman" w:cs="Times New Roman"/>
                <w:sz w:val="24"/>
                <w:szCs w:val="24"/>
              </w:rPr>
              <w:t xml:space="preserve">vody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 n</w:t>
            </w:r>
            <w:r w:rsidR="00166EA3"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eočakáva žiadna významná expozícia ľudí </w:t>
            </w:r>
            <w:proofErr w:type="spellStart"/>
            <w:r w:rsidR="00166EA3" w:rsidRPr="007A4303">
              <w:rPr>
                <w:rFonts w:ascii="Times New Roman" w:hAnsi="Times New Roman" w:cs="Times New Roman"/>
                <w:sz w:val="24"/>
                <w:szCs w:val="24"/>
              </w:rPr>
              <w:t>vinylchloridom</w:t>
            </w:r>
            <w:proofErr w:type="spellEnd"/>
            <w:r w:rsidR="00166EA3"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16F8FE" w14:textId="2258D970" w:rsidR="00166EA3" w:rsidRPr="007A4303" w:rsidRDefault="00166EA3" w:rsidP="0082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 xml:space="preserve">Karcinogénne účinky a riziko vzniku rakoviny pečene má najmä pri dlhodobom vdychovaní. </w:t>
            </w:r>
          </w:p>
          <w:p w14:paraId="26EA4FE6" w14:textId="72C69574" w:rsidR="00166EA3" w:rsidRPr="007A4303" w:rsidRDefault="00166EA3" w:rsidP="0082348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303">
              <w:rPr>
                <w:rFonts w:ascii="Times New Roman" w:hAnsi="Times New Roman" w:cs="Times New Roman"/>
                <w:sz w:val="24"/>
                <w:szCs w:val="24"/>
              </w:rPr>
              <w:t>Akútna inhalácia látky vo veľkých množstvách môže spôsobiť bolesti hlavy, závraty, ospalosť a stratu vedomia.</w:t>
            </w:r>
          </w:p>
        </w:tc>
      </w:tr>
      <w:tr w:rsidR="007A35F6" w:rsidRPr="00F7686E" w14:paraId="4CD413E9" w14:textId="77777777" w:rsidTr="00A10E18">
        <w:trPr>
          <w:trHeight w:val="251"/>
        </w:trPr>
        <w:tc>
          <w:tcPr>
            <w:tcW w:w="1771" w:type="dxa"/>
          </w:tcPr>
          <w:p w14:paraId="7C142612" w14:textId="59BA8D11" w:rsidR="007A35F6" w:rsidRDefault="007A35F6" w:rsidP="007A35F6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84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trazín</w:t>
            </w:r>
          </w:p>
        </w:tc>
        <w:tc>
          <w:tcPr>
            <w:tcW w:w="1626" w:type="dxa"/>
          </w:tcPr>
          <w:p w14:paraId="2C057188" w14:textId="64C2B32B" w:rsidR="007A35F6" w:rsidRPr="0008454E" w:rsidRDefault="007A35F6" w:rsidP="007A35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0,1 µg/l</w:t>
            </w:r>
          </w:p>
        </w:tc>
        <w:tc>
          <w:tcPr>
            <w:tcW w:w="1134" w:type="dxa"/>
          </w:tcPr>
          <w:p w14:paraId="67E144F2" w14:textId="1C606B57" w:rsidR="007A35F6" w:rsidRDefault="007A35F6" w:rsidP="007A35F6">
            <w:pPr>
              <w:widowControl w:val="0"/>
              <w:autoSpaceDE w:val="0"/>
              <w:autoSpaceDN w:val="0"/>
              <w:adjustRightInd w:val="0"/>
              <w:spacing w:before="120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NMH</w:t>
            </w:r>
          </w:p>
        </w:tc>
        <w:tc>
          <w:tcPr>
            <w:tcW w:w="5387" w:type="dxa"/>
          </w:tcPr>
          <w:p w14:paraId="481EF040" w14:textId="56AF2F60" w:rsidR="007A35F6" w:rsidRPr="00D22BB3" w:rsidRDefault="007A35F6" w:rsidP="007A35F6">
            <w:pPr>
              <w:widowControl w:val="0"/>
              <w:autoSpaceDE w:val="0"/>
              <w:autoSpaceDN w:val="0"/>
              <w:adjustRightInd w:val="0"/>
              <w:spacing w:before="120" w:after="120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BB3">
              <w:rPr>
                <w:rFonts w:ascii="Times New Roman" w:hAnsi="Times New Roman"/>
                <w:sz w:val="24"/>
                <w:szCs w:val="24"/>
              </w:rPr>
              <w:t>Atrazín je pesticíd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22BB3">
              <w:rPr>
                <w:rFonts w:ascii="Times New Roman" w:hAnsi="Times New Roman"/>
                <w:sz w:val="24"/>
                <w:szCs w:val="24"/>
              </w:rPr>
              <w:t xml:space="preserve">herbicíd, ktorý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 </w:t>
            </w:r>
            <w:r w:rsidRPr="00D22BB3">
              <w:rPr>
                <w:rFonts w:ascii="Times New Roman" w:hAnsi="Times New Roman"/>
                <w:sz w:val="24"/>
                <w:szCs w:val="24"/>
              </w:rPr>
              <w:t>v minulosti používa</w:t>
            </w:r>
            <w:r>
              <w:rPr>
                <w:rFonts w:ascii="Times New Roman" w:hAnsi="Times New Roman"/>
                <w:sz w:val="24"/>
                <w:szCs w:val="24"/>
              </w:rPr>
              <w:t>l v poľnohospodárstve</w:t>
            </w:r>
            <w:r w:rsidRPr="00D22BB3">
              <w:rPr>
                <w:rFonts w:ascii="Times New Roman" w:hAnsi="Times New Roman"/>
                <w:sz w:val="24"/>
                <w:szCs w:val="24"/>
              </w:rPr>
              <w:t xml:space="preserve"> na ničenie buriny v porastoch kukurice</w:t>
            </w:r>
            <w:r>
              <w:rPr>
                <w:rFonts w:ascii="Times New Roman" w:hAnsi="Times New Roman"/>
                <w:sz w:val="24"/>
                <w:szCs w:val="24"/>
              </w:rPr>
              <w:t>, cukrovej trstiny,</w:t>
            </w:r>
            <w:r w:rsidRPr="00D22BB3">
              <w:rPr>
                <w:rFonts w:ascii="Times New Roman" w:hAnsi="Times New Roman"/>
                <w:sz w:val="24"/>
                <w:szCs w:val="24"/>
              </w:rPr>
              <w:t xml:space="preserve"> broskýň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2BB3">
              <w:rPr>
                <w:rFonts w:ascii="Times New Roman" w:hAnsi="Times New Roman"/>
                <w:sz w:val="24"/>
                <w:szCs w:val="24"/>
              </w:rPr>
              <w:t>chmeľu,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ciroku, ako prípravok na zabránenie rastu buriny popri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diaľníc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 železničných tratí. </w:t>
            </w:r>
            <w:r w:rsidR="00162161">
              <w:rPr>
                <w:rFonts w:ascii="Times New Roman" w:hAnsi="Times New Roman"/>
                <w:sz w:val="24"/>
                <w:szCs w:val="24"/>
              </w:rPr>
              <w:t>Ak keď jeho používanie bolo  zastavené v krajinách Európskej únie v roku 2005, doteraz sa ešte stále aplikuje v niektorých krajinách mimo Európskej únie a pretrváva v životnom prostredí.</w:t>
            </w:r>
          </w:p>
        </w:tc>
        <w:tc>
          <w:tcPr>
            <w:tcW w:w="5470" w:type="dxa"/>
          </w:tcPr>
          <w:p w14:paraId="65F39626" w14:textId="11B1BD3A" w:rsidR="007A35F6" w:rsidRPr="0008454E" w:rsidRDefault="007A35F6" w:rsidP="007A35F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454E">
              <w:rPr>
                <w:rFonts w:ascii="Times New Roman" w:hAnsi="Times New Roman" w:cs="Times New Roman"/>
                <w:sz w:val="24"/>
                <w:szCs w:val="24"/>
              </w:rPr>
              <w:t>Toxicita atrazínu sa prejavuje negatívnym vplyvom na vývoj organizmu, reprodukčný a hormonálny systéme, môže spôsobiť poškodenie srdca, pečene a obličiek.</w:t>
            </w:r>
          </w:p>
        </w:tc>
      </w:tr>
    </w:tbl>
    <w:p w14:paraId="070B34E3" w14:textId="2CD32957" w:rsidR="009B3BC2" w:rsidRDefault="009B3BC2" w:rsidP="0082348C"/>
    <w:p w14:paraId="2258B727" w14:textId="77777777" w:rsidR="004862BE" w:rsidRDefault="009D7333" w:rsidP="004862BE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862BE">
        <w:rPr>
          <w:rFonts w:ascii="Times New Roman" w:hAnsi="Times New Roman" w:cs="Times New Roman"/>
          <w:sz w:val="20"/>
          <w:szCs w:val="20"/>
        </w:rPr>
        <w:t>Vysvetlivky:</w:t>
      </w:r>
    </w:p>
    <w:p w14:paraId="1B18B1A4" w14:textId="709323C8" w:rsidR="009D7333" w:rsidRDefault="009D7333" w:rsidP="004862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62BE">
        <w:rPr>
          <w:rFonts w:ascii="Times New Roman" w:hAnsi="Times New Roman" w:cs="Times New Roman"/>
          <w:sz w:val="20"/>
          <w:szCs w:val="20"/>
        </w:rPr>
        <w:t>NMH – Najvyššia medzná hodnota je hodnota zdravotne významného ukazovateľa kvality pitnej vody, ktorej prekročenie vylučuje použitie vody ako pitnej vody</w:t>
      </w:r>
    </w:p>
    <w:p w14:paraId="57D0AE49" w14:textId="7BBAFF75" w:rsidR="007A35F6" w:rsidRDefault="007A35F6" w:rsidP="004862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998CF8" w14:textId="74E0465C" w:rsidR="007A35F6" w:rsidRDefault="007A35F6" w:rsidP="007A35F6"/>
    <w:p w14:paraId="4FE71CA5" w14:textId="77777777" w:rsidR="007A35F6" w:rsidRPr="004862BE" w:rsidRDefault="007A35F6" w:rsidP="004862B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A35F6" w:rsidRPr="004862BE" w:rsidSect="00232C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AD77" w14:textId="77777777" w:rsidR="00D64886" w:rsidRDefault="00D64886" w:rsidP="00AF0DD8">
      <w:pPr>
        <w:spacing w:after="0" w:line="240" w:lineRule="auto"/>
      </w:pPr>
      <w:r>
        <w:separator/>
      </w:r>
    </w:p>
  </w:endnote>
  <w:endnote w:type="continuationSeparator" w:id="0">
    <w:p w14:paraId="23E1A4C5" w14:textId="77777777" w:rsidR="00D64886" w:rsidRDefault="00D64886" w:rsidP="00A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8E8C" w14:textId="77777777" w:rsidR="00D64886" w:rsidRDefault="00D64886" w:rsidP="00AF0DD8">
      <w:pPr>
        <w:spacing w:after="0" w:line="240" w:lineRule="auto"/>
      </w:pPr>
      <w:r>
        <w:separator/>
      </w:r>
    </w:p>
  </w:footnote>
  <w:footnote w:type="continuationSeparator" w:id="0">
    <w:p w14:paraId="7CE9DAE4" w14:textId="77777777" w:rsidR="00D64886" w:rsidRDefault="00D64886" w:rsidP="00AF0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876CE"/>
    <w:multiLevelType w:val="hybridMultilevel"/>
    <w:tmpl w:val="2104E8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95"/>
    <w:rsid w:val="00006FF3"/>
    <w:rsid w:val="00007EC0"/>
    <w:rsid w:val="00021799"/>
    <w:rsid w:val="00024399"/>
    <w:rsid w:val="0003021C"/>
    <w:rsid w:val="000341B3"/>
    <w:rsid w:val="000375EC"/>
    <w:rsid w:val="0004021B"/>
    <w:rsid w:val="000408EB"/>
    <w:rsid w:val="0004421C"/>
    <w:rsid w:val="000666D5"/>
    <w:rsid w:val="000744DB"/>
    <w:rsid w:val="000749E0"/>
    <w:rsid w:val="0008454E"/>
    <w:rsid w:val="000909CF"/>
    <w:rsid w:val="000C0420"/>
    <w:rsid w:val="000F021B"/>
    <w:rsid w:val="00106ECF"/>
    <w:rsid w:val="001167CD"/>
    <w:rsid w:val="00134178"/>
    <w:rsid w:val="0014767A"/>
    <w:rsid w:val="00154943"/>
    <w:rsid w:val="00162161"/>
    <w:rsid w:val="00163E9B"/>
    <w:rsid w:val="00166EA3"/>
    <w:rsid w:val="001A1F93"/>
    <w:rsid w:val="001B3966"/>
    <w:rsid w:val="001D70F4"/>
    <w:rsid w:val="00200835"/>
    <w:rsid w:val="002129D2"/>
    <w:rsid w:val="00232C95"/>
    <w:rsid w:val="00254037"/>
    <w:rsid w:val="00256324"/>
    <w:rsid w:val="00273EEA"/>
    <w:rsid w:val="0028024E"/>
    <w:rsid w:val="00280BA2"/>
    <w:rsid w:val="002C660C"/>
    <w:rsid w:val="002D5F57"/>
    <w:rsid w:val="002E71B8"/>
    <w:rsid w:val="00305551"/>
    <w:rsid w:val="003205FA"/>
    <w:rsid w:val="00326AA3"/>
    <w:rsid w:val="0035599A"/>
    <w:rsid w:val="003678CD"/>
    <w:rsid w:val="003A0955"/>
    <w:rsid w:val="003A163D"/>
    <w:rsid w:val="003A544D"/>
    <w:rsid w:val="003A59AF"/>
    <w:rsid w:val="003A7EEA"/>
    <w:rsid w:val="003D2905"/>
    <w:rsid w:val="003E7588"/>
    <w:rsid w:val="003F07C3"/>
    <w:rsid w:val="004163D3"/>
    <w:rsid w:val="00450BC6"/>
    <w:rsid w:val="004570CD"/>
    <w:rsid w:val="00483E1A"/>
    <w:rsid w:val="004862BE"/>
    <w:rsid w:val="0049553C"/>
    <w:rsid w:val="004B130C"/>
    <w:rsid w:val="004B2CDF"/>
    <w:rsid w:val="004B414C"/>
    <w:rsid w:val="004C7B9B"/>
    <w:rsid w:val="004E119C"/>
    <w:rsid w:val="004F2990"/>
    <w:rsid w:val="00500EFE"/>
    <w:rsid w:val="0051238E"/>
    <w:rsid w:val="0051323B"/>
    <w:rsid w:val="0051582A"/>
    <w:rsid w:val="005404AF"/>
    <w:rsid w:val="0054686F"/>
    <w:rsid w:val="00550B1C"/>
    <w:rsid w:val="00563C85"/>
    <w:rsid w:val="005A7F22"/>
    <w:rsid w:val="005B69D7"/>
    <w:rsid w:val="005D5432"/>
    <w:rsid w:val="005E2240"/>
    <w:rsid w:val="005E5626"/>
    <w:rsid w:val="005F2D93"/>
    <w:rsid w:val="00600301"/>
    <w:rsid w:val="006032E4"/>
    <w:rsid w:val="00622A1A"/>
    <w:rsid w:val="006514C3"/>
    <w:rsid w:val="006568F4"/>
    <w:rsid w:val="00657DC6"/>
    <w:rsid w:val="006606C9"/>
    <w:rsid w:val="006734D4"/>
    <w:rsid w:val="0067678D"/>
    <w:rsid w:val="00683337"/>
    <w:rsid w:val="00686C45"/>
    <w:rsid w:val="00697F2A"/>
    <w:rsid w:val="006B71F0"/>
    <w:rsid w:val="006C7490"/>
    <w:rsid w:val="006D0AFF"/>
    <w:rsid w:val="006D46A6"/>
    <w:rsid w:val="006D7CEE"/>
    <w:rsid w:val="006E091D"/>
    <w:rsid w:val="006E5C28"/>
    <w:rsid w:val="006F2F59"/>
    <w:rsid w:val="00712C87"/>
    <w:rsid w:val="007234F2"/>
    <w:rsid w:val="00727374"/>
    <w:rsid w:val="007501C0"/>
    <w:rsid w:val="00755ABF"/>
    <w:rsid w:val="00763339"/>
    <w:rsid w:val="007723A8"/>
    <w:rsid w:val="00785E41"/>
    <w:rsid w:val="007A35F6"/>
    <w:rsid w:val="007A4303"/>
    <w:rsid w:val="007B5560"/>
    <w:rsid w:val="007B6BDD"/>
    <w:rsid w:val="007C04FA"/>
    <w:rsid w:val="007E468B"/>
    <w:rsid w:val="007E6BA9"/>
    <w:rsid w:val="007E7C56"/>
    <w:rsid w:val="00810B9C"/>
    <w:rsid w:val="008220DA"/>
    <w:rsid w:val="0082348C"/>
    <w:rsid w:val="0083058D"/>
    <w:rsid w:val="00831449"/>
    <w:rsid w:val="008355CF"/>
    <w:rsid w:val="0084012F"/>
    <w:rsid w:val="0088754E"/>
    <w:rsid w:val="008A4A86"/>
    <w:rsid w:val="008A4DC5"/>
    <w:rsid w:val="008A5703"/>
    <w:rsid w:val="008B60BF"/>
    <w:rsid w:val="008E687B"/>
    <w:rsid w:val="008F45C4"/>
    <w:rsid w:val="00907DBF"/>
    <w:rsid w:val="009169A8"/>
    <w:rsid w:val="00922A33"/>
    <w:rsid w:val="009250EC"/>
    <w:rsid w:val="0094764F"/>
    <w:rsid w:val="00956C2B"/>
    <w:rsid w:val="00964059"/>
    <w:rsid w:val="00977519"/>
    <w:rsid w:val="00986424"/>
    <w:rsid w:val="0099601B"/>
    <w:rsid w:val="009A0287"/>
    <w:rsid w:val="009A748A"/>
    <w:rsid w:val="009B3BC2"/>
    <w:rsid w:val="009C251F"/>
    <w:rsid w:val="009D238F"/>
    <w:rsid w:val="009D7333"/>
    <w:rsid w:val="009E0A2C"/>
    <w:rsid w:val="009F7B4E"/>
    <w:rsid w:val="00A10E18"/>
    <w:rsid w:val="00A23D88"/>
    <w:rsid w:val="00A369E6"/>
    <w:rsid w:val="00A371E5"/>
    <w:rsid w:val="00A543F3"/>
    <w:rsid w:val="00A565A1"/>
    <w:rsid w:val="00A92F37"/>
    <w:rsid w:val="00AA3BA6"/>
    <w:rsid w:val="00AD2402"/>
    <w:rsid w:val="00AF0DD8"/>
    <w:rsid w:val="00B034DB"/>
    <w:rsid w:val="00B243AF"/>
    <w:rsid w:val="00B4706F"/>
    <w:rsid w:val="00B474A5"/>
    <w:rsid w:val="00B92DD4"/>
    <w:rsid w:val="00B94054"/>
    <w:rsid w:val="00BA4FCF"/>
    <w:rsid w:val="00BE2A8B"/>
    <w:rsid w:val="00BE5BFD"/>
    <w:rsid w:val="00BE6B99"/>
    <w:rsid w:val="00C10311"/>
    <w:rsid w:val="00C10995"/>
    <w:rsid w:val="00C17274"/>
    <w:rsid w:val="00C17986"/>
    <w:rsid w:val="00C2688A"/>
    <w:rsid w:val="00C427DD"/>
    <w:rsid w:val="00C51BFB"/>
    <w:rsid w:val="00C70DDC"/>
    <w:rsid w:val="00C85352"/>
    <w:rsid w:val="00C91C97"/>
    <w:rsid w:val="00CE7572"/>
    <w:rsid w:val="00CF370B"/>
    <w:rsid w:val="00CF51DA"/>
    <w:rsid w:val="00D07026"/>
    <w:rsid w:val="00D17B6F"/>
    <w:rsid w:val="00D247EA"/>
    <w:rsid w:val="00D36B18"/>
    <w:rsid w:val="00D60D93"/>
    <w:rsid w:val="00D62709"/>
    <w:rsid w:val="00D64886"/>
    <w:rsid w:val="00D7278C"/>
    <w:rsid w:val="00D92FF1"/>
    <w:rsid w:val="00D9484D"/>
    <w:rsid w:val="00DB37C2"/>
    <w:rsid w:val="00DB7088"/>
    <w:rsid w:val="00DC2517"/>
    <w:rsid w:val="00DE3A05"/>
    <w:rsid w:val="00DE5806"/>
    <w:rsid w:val="00E06190"/>
    <w:rsid w:val="00E113AF"/>
    <w:rsid w:val="00E416C2"/>
    <w:rsid w:val="00E515AF"/>
    <w:rsid w:val="00E605D7"/>
    <w:rsid w:val="00E61E4F"/>
    <w:rsid w:val="00E66AA3"/>
    <w:rsid w:val="00E7402A"/>
    <w:rsid w:val="00E8028A"/>
    <w:rsid w:val="00E95CAD"/>
    <w:rsid w:val="00EE4D9D"/>
    <w:rsid w:val="00F060E2"/>
    <w:rsid w:val="00F20133"/>
    <w:rsid w:val="00F23675"/>
    <w:rsid w:val="00F26816"/>
    <w:rsid w:val="00F37038"/>
    <w:rsid w:val="00F46F4F"/>
    <w:rsid w:val="00F64EB5"/>
    <w:rsid w:val="00F65A2A"/>
    <w:rsid w:val="00F720A7"/>
    <w:rsid w:val="00F7686E"/>
    <w:rsid w:val="00F77ADC"/>
    <w:rsid w:val="00FA2BA0"/>
    <w:rsid w:val="00FC7DDD"/>
    <w:rsid w:val="00FD5D6B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FA6B"/>
  <w15:chartTrackingRefBased/>
  <w15:docId w15:val="{77C441C0-7955-4D9E-910A-970BAB2C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2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C95"/>
    <w:pPr>
      <w:ind w:left="720"/>
      <w:contextualSpacing/>
    </w:pPr>
  </w:style>
  <w:style w:type="table" w:styleId="Mriekatabuky">
    <w:name w:val="Table Grid"/>
    <w:basedOn w:val="Normlnatabuka"/>
    <w:uiPriority w:val="39"/>
    <w:rsid w:val="009B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1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3D3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1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10995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56C2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F0D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F0D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F0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75A8D-FA7E-4DD5-A016-A0F2F6AB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 Gubková</dc:creator>
  <cp:keywords/>
  <dc:description/>
  <cp:lastModifiedBy>Olívia Derčalíková</cp:lastModifiedBy>
  <cp:revision>2</cp:revision>
  <cp:lastPrinted>2020-10-30T11:25:00Z</cp:lastPrinted>
  <dcterms:created xsi:type="dcterms:W3CDTF">2022-01-25T20:30:00Z</dcterms:created>
  <dcterms:modified xsi:type="dcterms:W3CDTF">2022-01-25T20:30:00Z</dcterms:modified>
</cp:coreProperties>
</file>